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40"/>
          <w:shd w:fill="auto" w:val="clear"/>
        </w:rPr>
        <w:t xml:space="preserve">Hedensted Y’s Mens Club</w:t>
      </w:r>
      <w:r>
        <w:object w:dxaOrig="2073" w:dyaOrig="2001">
          <v:rect xmlns:o="urn:schemas-microsoft-com:office:office" xmlns:v="urn:schemas-microsoft-com:vml" id="rectole0000000000" style="width:103.650000pt;height:10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4"/>
          <w:shd w:fill="auto" w:val="clear"/>
        </w:rPr>
        <w:t xml:space="preserve">Oversigt over organisationer der har modtaget støtte i 2021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01"/>
        <w:gridCol w:w="5133"/>
      </w:tblGrid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Ansøger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Formål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KFUM og KFUK i DK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Events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KFUM og KFUK, Distrikt Trekanten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Konfirmandweekend, børnesommerlejr, distriktskonsulent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Danmarks Kirkelig Mediecenter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Snapper og Topper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Folkekirkens Nødhjælp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Manglende landsindsamling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Diakonhøjskolen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Internationale studerende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Blå Kors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Stjernestunder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KFUMs Soldatermission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Spil mv til Soldaterhjem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Flygtningefamilie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Cykler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Aktiv Mission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Syprojekt Cuba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Broen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Deltagelse i fritidsaktiviteter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Hedensted sogns Menighedspleje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Julehjælp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Løsning sogns Menighedspleje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Julehjælp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Lystruphave Efterskole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Læsejl til båhytte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Mission Afrika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Hjælp til studerende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Jul I Fællesskab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Fælles julearrangement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Global Hope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Brøndboring i Kenya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Y’s Men Regionsprojekter</w:t>
            </w: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Weefood, Lægehjælp, Udsatte børn og køkkenhave for fattige</w:t>
            </w: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19 projekter har i 2021 modtaget økonomisk støtte for ialt kr. 165.000,-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Hedensted Y´s Mens Club, Fondsudvalget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fondsudvalg.hedensted.ysmen@gmail.com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fondsudvalg.hedensted.ysmen@gmail.com" Id="docRId2" Type="http://schemas.openxmlformats.org/officeDocument/2006/relationships/hyperlink"/><Relationship Target="styles.xml" Id="docRId4" Type="http://schemas.openxmlformats.org/officeDocument/2006/relationships/styles"/></Relationships>
</file>